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46D" w:rsidRDefault="00E33748">
      <w:pPr>
        <w:tabs>
          <w:tab w:val="left" w:pos="8148"/>
        </w:tabs>
        <w:spacing w:before="64"/>
        <w:ind w:left="560"/>
        <w:rPr>
          <w:rFonts w:ascii="Arial" w:eastAsia="Arial" w:hAnsi="Arial" w:cs="Arial"/>
          <w:sz w:val="21"/>
          <w:szCs w:val="21"/>
        </w:rPr>
      </w:pPr>
      <w:r>
        <w:rPr>
          <w:rFonts w:ascii="Arial"/>
          <w:i/>
          <w:sz w:val="21"/>
        </w:rPr>
        <w:t>BIOL</w:t>
      </w:r>
      <w:r>
        <w:rPr>
          <w:rFonts w:ascii="Arial"/>
          <w:i/>
          <w:spacing w:val="35"/>
          <w:sz w:val="21"/>
        </w:rPr>
        <w:t xml:space="preserve"> </w:t>
      </w:r>
      <w:r>
        <w:rPr>
          <w:rFonts w:ascii="Arial"/>
          <w:i/>
          <w:sz w:val="21"/>
        </w:rPr>
        <w:t>53700</w:t>
      </w:r>
      <w:r>
        <w:rPr>
          <w:rFonts w:ascii="Arial"/>
          <w:i/>
          <w:sz w:val="21"/>
        </w:rPr>
        <w:tab/>
      </w:r>
      <w:proofErr w:type="spellStart"/>
      <w:r w:rsidR="006520C9">
        <w:rPr>
          <w:rFonts w:ascii="Arial"/>
          <w:i/>
          <w:sz w:val="21"/>
        </w:rPr>
        <w:t>Q.Deng</w:t>
      </w:r>
      <w:proofErr w:type="spellEnd"/>
    </w:p>
    <w:p w:rsidR="0083146D" w:rsidRDefault="0083146D">
      <w:pPr>
        <w:spacing w:before="2"/>
        <w:rPr>
          <w:rFonts w:ascii="Arial" w:eastAsia="Arial" w:hAnsi="Arial" w:cs="Arial"/>
          <w:i/>
          <w:sz w:val="19"/>
          <w:szCs w:val="19"/>
        </w:rPr>
      </w:pPr>
    </w:p>
    <w:p w:rsidR="0083146D" w:rsidRDefault="007E3116">
      <w:pPr>
        <w:tabs>
          <w:tab w:val="left" w:pos="7759"/>
        </w:tabs>
        <w:ind w:left="110"/>
        <w:rPr>
          <w:rFonts w:ascii="Arial" w:eastAsia="Arial" w:hAnsi="Arial" w:cs="Arial"/>
          <w:sz w:val="21"/>
          <w:szCs w:val="21"/>
        </w:rPr>
      </w:pPr>
      <w:r>
        <w:rPr>
          <w:rFonts w:ascii="Arial"/>
          <w:b/>
          <w:sz w:val="28"/>
        </w:rPr>
        <w:t>NET in vivo</w:t>
      </w:r>
      <w:r w:rsidR="00E33748">
        <w:rPr>
          <w:rFonts w:ascii="Arial"/>
          <w:b/>
          <w:spacing w:val="-18"/>
          <w:sz w:val="28"/>
        </w:rPr>
        <w:t xml:space="preserve"> </w:t>
      </w:r>
      <w:r w:rsidR="00E33748">
        <w:rPr>
          <w:rFonts w:ascii="Arial"/>
          <w:b/>
          <w:sz w:val="21"/>
        </w:rPr>
        <w:t>(</w:t>
      </w:r>
      <w:proofErr w:type="spellStart"/>
      <w:r>
        <w:rPr>
          <w:rFonts w:ascii="Arial"/>
          <w:b/>
          <w:sz w:val="21"/>
        </w:rPr>
        <w:t>Yipp</w:t>
      </w:r>
      <w:proofErr w:type="spellEnd"/>
      <w:r w:rsidR="00E33748">
        <w:rPr>
          <w:rFonts w:ascii="Arial"/>
          <w:b/>
          <w:sz w:val="21"/>
        </w:rPr>
        <w:t>)</w:t>
      </w:r>
      <w:r w:rsidR="00E33748">
        <w:rPr>
          <w:rFonts w:ascii="Arial"/>
          <w:b/>
          <w:sz w:val="21"/>
        </w:rPr>
        <w:tab/>
      </w:r>
    </w:p>
    <w:p w:rsidR="0083146D" w:rsidRDefault="0083146D">
      <w:pPr>
        <w:spacing w:before="7"/>
        <w:rPr>
          <w:rFonts w:ascii="Arial" w:eastAsia="Arial" w:hAnsi="Arial" w:cs="Arial"/>
          <w:b/>
          <w:bCs/>
          <w:sz w:val="15"/>
          <w:szCs w:val="15"/>
        </w:rPr>
      </w:pPr>
    </w:p>
    <w:p w:rsidR="0083146D" w:rsidRDefault="005070F4">
      <w:pPr>
        <w:pStyle w:val="Heading1"/>
        <w:tabs>
          <w:tab w:val="left" w:pos="5599"/>
        </w:tabs>
        <w:rPr>
          <w:b w:val="0"/>
          <w:bCs w:val="0"/>
        </w:rPr>
      </w:pPr>
      <w:r>
        <w:rPr>
          <w:u w:val="single" w:color="000000"/>
        </w:rPr>
        <w:t>Name</w:t>
      </w:r>
      <w:r w:rsidR="00E33748">
        <w:rPr>
          <w:u w:val="single" w:color="000000"/>
        </w:rPr>
        <w:t>:</w:t>
      </w:r>
      <w:r w:rsidR="00E33748">
        <w:tab/>
      </w:r>
    </w:p>
    <w:p w:rsidR="0083146D" w:rsidRDefault="0083146D">
      <w:pPr>
        <w:rPr>
          <w:rFonts w:ascii="Arial" w:eastAsia="Arial" w:hAnsi="Arial" w:cs="Arial"/>
          <w:b/>
          <w:bCs/>
          <w:sz w:val="20"/>
          <w:szCs w:val="20"/>
        </w:rPr>
      </w:pPr>
    </w:p>
    <w:p w:rsidR="0083146D" w:rsidRDefault="0083146D">
      <w:pPr>
        <w:rPr>
          <w:rFonts w:ascii="Arial" w:eastAsia="Arial" w:hAnsi="Arial" w:cs="Arial"/>
          <w:b/>
          <w:bCs/>
          <w:sz w:val="20"/>
          <w:szCs w:val="20"/>
        </w:rPr>
      </w:pPr>
    </w:p>
    <w:p w:rsidR="0083146D" w:rsidRDefault="0083146D">
      <w:pPr>
        <w:rPr>
          <w:rFonts w:ascii="Arial" w:eastAsia="Arial" w:hAnsi="Arial" w:cs="Arial"/>
          <w:b/>
          <w:bCs/>
          <w:sz w:val="20"/>
          <w:szCs w:val="20"/>
        </w:rPr>
      </w:pPr>
    </w:p>
    <w:p w:rsidR="0083146D" w:rsidRDefault="0083146D">
      <w:pPr>
        <w:spacing w:before="9"/>
        <w:rPr>
          <w:rFonts w:ascii="Arial" w:eastAsia="Arial" w:hAnsi="Arial" w:cs="Arial"/>
          <w:b/>
          <w:bCs/>
          <w:sz w:val="18"/>
          <w:szCs w:val="18"/>
        </w:rPr>
      </w:pPr>
    </w:p>
    <w:p w:rsidR="0083146D" w:rsidRDefault="00E33748">
      <w:pPr>
        <w:pStyle w:val="Heading1"/>
        <w:ind w:left="127"/>
        <w:rPr>
          <w:b w:val="0"/>
          <w:bCs w:val="0"/>
        </w:rPr>
      </w:pPr>
      <w:r>
        <w:rPr>
          <w:u w:val="single" w:color="000000"/>
        </w:rPr>
        <w:t>Questions</w:t>
      </w:r>
    </w:p>
    <w:p w:rsidR="0083146D" w:rsidRDefault="0083146D">
      <w:pPr>
        <w:spacing w:before="5"/>
        <w:rPr>
          <w:rFonts w:ascii="Arial" w:eastAsia="Arial" w:hAnsi="Arial" w:cs="Arial"/>
          <w:b/>
          <w:bCs/>
          <w:sz w:val="16"/>
          <w:szCs w:val="16"/>
        </w:rPr>
      </w:pPr>
    </w:p>
    <w:p w:rsidR="00420CD1" w:rsidRDefault="00420CD1" w:rsidP="00420CD1">
      <w:pPr>
        <w:pStyle w:val="BodyText"/>
        <w:numPr>
          <w:ilvl w:val="0"/>
          <w:numId w:val="1"/>
        </w:numPr>
        <w:tabs>
          <w:tab w:val="left" w:pos="488"/>
        </w:tabs>
        <w:spacing w:before="78"/>
      </w:pPr>
      <w:r>
        <w:t>Extracellular DNA</w:t>
      </w:r>
      <w:r w:rsidR="00E33748">
        <w:rPr>
          <w:spacing w:val="17"/>
        </w:rPr>
        <w:t xml:space="preserve"> </w:t>
      </w:r>
      <w:r>
        <w:t xml:space="preserve">a direct indication of NET formation. What related experimental approach is used to detect NET formation?  </w:t>
      </w:r>
      <w:r>
        <w:t xml:space="preserve">What related experimental approach is used to </w:t>
      </w:r>
      <w:r>
        <w:t xml:space="preserve">determine the biological function of </w:t>
      </w:r>
      <w:r>
        <w:t xml:space="preserve">NET?  </w:t>
      </w:r>
    </w:p>
    <w:p w:rsidR="0083146D" w:rsidRDefault="0083146D" w:rsidP="00420CD1">
      <w:pPr>
        <w:pStyle w:val="BodyText"/>
        <w:tabs>
          <w:tab w:val="left" w:pos="488"/>
        </w:tabs>
        <w:spacing w:before="78"/>
        <w:ind w:left="488" w:firstLine="0"/>
      </w:pPr>
    </w:p>
    <w:p w:rsidR="0083146D" w:rsidRDefault="0083146D">
      <w:pPr>
        <w:spacing w:before="10"/>
        <w:rPr>
          <w:rFonts w:ascii="Arial" w:eastAsia="Arial" w:hAnsi="Arial" w:cs="Arial"/>
        </w:rPr>
      </w:pPr>
    </w:p>
    <w:p w:rsidR="00420CD1" w:rsidRPr="00420CD1" w:rsidRDefault="00420CD1" w:rsidP="00420CD1">
      <w:pPr>
        <w:pStyle w:val="BodyText"/>
        <w:tabs>
          <w:tab w:val="left" w:pos="488"/>
        </w:tabs>
        <w:spacing w:before="78"/>
        <w:ind w:left="488" w:firstLine="0"/>
        <w:rPr>
          <w:color w:val="0066FF"/>
        </w:rPr>
      </w:pPr>
      <w:r w:rsidRPr="00420CD1">
        <w:rPr>
          <w:color w:val="0066FF"/>
        </w:rPr>
        <w:t>Cell impermeable DNA dye such as SYTOX</w:t>
      </w:r>
      <w:r w:rsidRPr="00420CD1">
        <w:rPr>
          <w:color w:val="0066FF"/>
        </w:rPr>
        <w:t xml:space="preserve"> is used to detect NET formation</w:t>
      </w:r>
      <w:r w:rsidRPr="00420CD1">
        <w:rPr>
          <w:color w:val="0066FF"/>
        </w:rPr>
        <w:t>.</w:t>
      </w:r>
      <w:r w:rsidRPr="00420CD1">
        <w:rPr>
          <w:color w:val="0066FF"/>
        </w:rPr>
        <w:t xml:space="preserve">  </w:t>
      </w:r>
    </w:p>
    <w:p w:rsidR="00420CD1" w:rsidRPr="00420CD1" w:rsidRDefault="00420CD1" w:rsidP="00420CD1">
      <w:pPr>
        <w:pStyle w:val="BodyText"/>
        <w:tabs>
          <w:tab w:val="left" w:pos="488"/>
        </w:tabs>
        <w:spacing w:before="78"/>
        <w:ind w:left="488" w:firstLine="0"/>
        <w:rPr>
          <w:color w:val="0066FF"/>
        </w:rPr>
      </w:pPr>
      <w:r w:rsidRPr="00420CD1">
        <w:rPr>
          <w:color w:val="0066FF"/>
        </w:rPr>
        <w:t>DNase</w:t>
      </w:r>
      <w:r w:rsidRPr="00420CD1">
        <w:rPr>
          <w:color w:val="0066FF"/>
        </w:rPr>
        <w:t xml:space="preserve"> is used to determine the function of NET</w:t>
      </w:r>
      <w:r w:rsidRPr="00420CD1">
        <w:rPr>
          <w:color w:val="0066FF"/>
        </w:rPr>
        <w:t>.</w:t>
      </w:r>
      <w:r w:rsidRPr="00420CD1">
        <w:rPr>
          <w:color w:val="0066FF"/>
        </w:rPr>
        <w:t xml:space="preserve">  </w:t>
      </w:r>
    </w:p>
    <w:p w:rsidR="00420CD1" w:rsidRPr="00420CD1" w:rsidRDefault="00420CD1" w:rsidP="00420CD1">
      <w:pPr>
        <w:pStyle w:val="BodyText"/>
        <w:tabs>
          <w:tab w:val="left" w:pos="488"/>
        </w:tabs>
        <w:spacing w:before="78"/>
        <w:ind w:left="488" w:firstLine="0"/>
        <w:rPr>
          <w:color w:val="0066FF"/>
        </w:rPr>
      </w:pPr>
    </w:p>
    <w:p w:rsidR="0083146D" w:rsidRDefault="0083146D">
      <w:pPr>
        <w:rPr>
          <w:rFonts w:ascii="Arial" w:eastAsia="Arial" w:hAnsi="Arial" w:cs="Arial"/>
        </w:rPr>
      </w:pPr>
    </w:p>
    <w:p w:rsidR="0083146D" w:rsidRDefault="0083146D">
      <w:pPr>
        <w:rPr>
          <w:rFonts w:ascii="Arial" w:eastAsia="Arial" w:hAnsi="Arial" w:cs="Arial"/>
        </w:rPr>
      </w:pPr>
    </w:p>
    <w:p w:rsidR="0083146D" w:rsidRDefault="0083146D">
      <w:pPr>
        <w:rPr>
          <w:rFonts w:ascii="Arial" w:eastAsia="Arial" w:hAnsi="Arial" w:cs="Arial"/>
          <w:sz w:val="23"/>
          <w:szCs w:val="23"/>
        </w:rPr>
      </w:pPr>
    </w:p>
    <w:p w:rsidR="005C0383" w:rsidRDefault="005C0383" w:rsidP="004A1CF6">
      <w:pPr>
        <w:pStyle w:val="BodyText"/>
        <w:numPr>
          <w:ilvl w:val="0"/>
          <w:numId w:val="1"/>
        </w:numPr>
        <w:tabs>
          <w:tab w:val="left" w:pos="488"/>
        </w:tabs>
        <w:spacing w:line="252" w:lineRule="auto"/>
        <w:ind w:right="568"/>
      </w:pPr>
      <w:r>
        <w:t>Describe the rationale for the experimental design in Figure 2</w:t>
      </w:r>
      <w:r w:rsidR="000F6A23">
        <w:t>de</w:t>
      </w:r>
      <w:r>
        <w:t>. Why are these knock out mice chosen</w:t>
      </w:r>
      <w:r w:rsidR="00E33748">
        <w:t>?</w:t>
      </w:r>
      <w:r>
        <w:t xml:space="preserve"> </w:t>
      </w:r>
    </w:p>
    <w:p w:rsidR="005C0383" w:rsidRDefault="005C0383" w:rsidP="005C0383">
      <w:pPr>
        <w:pStyle w:val="BodyText"/>
        <w:tabs>
          <w:tab w:val="left" w:pos="488"/>
        </w:tabs>
        <w:spacing w:line="252" w:lineRule="auto"/>
        <w:ind w:left="488" w:right="568" w:firstLine="0"/>
      </w:pPr>
    </w:p>
    <w:p w:rsidR="0083146D" w:rsidRDefault="0083146D">
      <w:pPr>
        <w:rPr>
          <w:rFonts w:ascii="Arial" w:eastAsia="Arial" w:hAnsi="Arial" w:cs="Arial"/>
          <w:sz w:val="20"/>
          <w:szCs w:val="20"/>
        </w:rPr>
      </w:pPr>
    </w:p>
    <w:p w:rsidR="0083146D" w:rsidRDefault="001800D4" w:rsidP="001800D4">
      <w:pPr>
        <w:spacing w:before="1"/>
        <w:ind w:left="540"/>
        <w:rPr>
          <w:rFonts w:ascii="Arial" w:eastAsia="Arial" w:hAnsi="Arial"/>
          <w:color w:val="0066FF"/>
          <w:sz w:val="21"/>
          <w:szCs w:val="21"/>
        </w:rPr>
      </w:pPr>
      <w:r w:rsidRPr="001800D4">
        <w:rPr>
          <w:rFonts w:ascii="Arial" w:eastAsia="Arial" w:hAnsi="Arial"/>
          <w:color w:val="0066FF"/>
          <w:sz w:val="21"/>
          <w:szCs w:val="21"/>
        </w:rPr>
        <w:t>Figure 2 de determines the importance of TLR2 and C3 in NET formation. The morphology of the nuclei is used as a read out</w:t>
      </w:r>
      <w:r>
        <w:rPr>
          <w:rFonts w:ascii="Arial" w:eastAsia="Arial" w:hAnsi="Arial"/>
          <w:color w:val="0066FF"/>
          <w:sz w:val="21"/>
          <w:szCs w:val="21"/>
        </w:rPr>
        <w:t>.</w:t>
      </w:r>
    </w:p>
    <w:p w:rsidR="001800D4" w:rsidRDefault="001800D4" w:rsidP="001800D4">
      <w:pPr>
        <w:spacing w:before="1"/>
        <w:ind w:left="540"/>
        <w:rPr>
          <w:rFonts w:ascii="Arial" w:eastAsia="Arial" w:hAnsi="Arial"/>
          <w:color w:val="0066FF"/>
          <w:sz w:val="21"/>
          <w:szCs w:val="21"/>
        </w:rPr>
      </w:pPr>
    </w:p>
    <w:p w:rsidR="001800D4" w:rsidRPr="001800D4" w:rsidRDefault="001800D4" w:rsidP="001800D4">
      <w:pPr>
        <w:spacing w:before="1"/>
        <w:ind w:left="540"/>
        <w:rPr>
          <w:rFonts w:ascii="Arial" w:eastAsia="Arial" w:hAnsi="Arial"/>
          <w:color w:val="0066FF"/>
          <w:sz w:val="21"/>
          <w:szCs w:val="21"/>
        </w:rPr>
      </w:pPr>
      <w:r>
        <w:rPr>
          <w:rFonts w:ascii="Arial" w:eastAsia="Arial" w:hAnsi="Arial"/>
          <w:color w:val="0066FF"/>
          <w:sz w:val="21"/>
          <w:szCs w:val="21"/>
        </w:rPr>
        <w:t>TLR2 mediated inflammation and complement were previously characterized to be important for fighting this bacterial infection so the authors tested whether these two are required for NET formation/ C3 is the essential component in the complement pathway.</w:t>
      </w:r>
      <w:bookmarkStart w:id="0" w:name="_GoBack"/>
      <w:bookmarkEnd w:id="0"/>
      <w:r>
        <w:rPr>
          <w:rFonts w:ascii="Arial" w:eastAsia="Arial" w:hAnsi="Arial"/>
          <w:color w:val="0066FF"/>
          <w:sz w:val="21"/>
          <w:szCs w:val="21"/>
        </w:rPr>
        <w:t xml:space="preserve"> </w:t>
      </w:r>
    </w:p>
    <w:sectPr w:rsidR="001800D4" w:rsidRPr="001800D4">
      <w:type w:val="continuous"/>
      <w:pgSz w:w="12240" w:h="15840"/>
      <w:pgMar w:top="660" w:right="130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C110EF"/>
    <w:multiLevelType w:val="hybridMultilevel"/>
    <w:tmpl w:val="ADD8A336"/>
    <w:lvl w:ilvl="0" w:tplc="BD74867E">
      <w:start w:val="1"/>
      <w:numFmt w:val="decimal"/>
      <w:lvlText w:val="%1."/>
      <w:lvlJc w:val="left"/>
      <w:pPr>
        <w:ind w:left="488" w:hanging="360"/>
        <w:jc w:val="left"/>
      </w:pPr>
      <w:rPr>
        <w:rFonts w:ascii="Arial" w:eastAsia="Arial" w:hAnsi="Arial" w:hint="default"/>
        <w:spacing w:val="2"/>
        <w:w w:val="102"/>
        <w:sz w:val="21"/>
        <w:szCs w:val="21"/>
      </w:rPr>
    </w:lvl>
    <w:lvl w:ilvl="1" w:tplc="FF90C13A">
      <w:start w:val="1"/>
      <w:numFmt w:val="bullet"/>
      <w:lvlText w:val="•"/>
      <w:lvlJc w:val="left"/>
      <w:pPr>
        <w:ind w:left="1445" w:hanging="360"/>
      </w:pPr>
      <w:rPr>
        <w:rFonts w:hint="default"/>
      </w:rPr>
    </w:lvl>
    <w:lvl w:ilvl="2" w:tplc="7F241408">
      <w:start w:val="1"/>
      <w:numFmt w:val="bullet"/>
      <w:lvlText w:val="•"/>
      <w:lvlJc w:val="left"/>
      <w:pPr>
        <w:ind w:left="2402" w:hanging="360"/>
      </w:pPr>
      <w:rPr>
        <w:rFonts w:hint="default"/>
      </w:rPr>
    </w:lvl>
    <w:lvl w:ilvl="3" w:tplc="E7B6C3A2">
      <w:start w:val="1"/>
      <w:numFmt w:val="bullet"/>
      <w:lvlText w:val="•"/>
      <w:lvlJc w:val="left"/>
      <w:pPr>
        <w:ind w:left="3359" w:hanging="360"/>
      </w:pPr>
      <w:rPr>
        <w:rFonts w:hint="default"/>
      </w:rPr>
    </w:lvl>
    <w:lvl w:ilvl="4" w:tplc="BFBE5FFE">
      <w:start w:val="1"/>
      <w:numFmt w:val="bullet"/>
      <w:lvlText w:val="•"/>
      <w:lvlJc w:val="left"/>
      <w:pPr>
        <w:ind w:left="4316" w:hanging="360"/>
      </w:pPr>
      <w:rPr>
        <w:rFonts w:hint="default"/>
      </w:rPr>
    </w:lvl>
    <w:lvl w:ilvl="5" w:tplc="070A5BFE">
      <w:start w:val="1"/>
      <w:numFmt w:val="bullet"/>
      <w:lvlText w:val="•"/>
      <w:lvlJc w:val="left"/>
      <w:pPr>
        <w:ind w:left="5274" w:hanging="360"/>
      </w:pPr>
      <w:rPr>
        <w:rFonts w:hint="default"/>
      </w:rPr>
    </w:lvl>
    <w:lvl w:ilvl="6" w:tplc="9FAE4B1C">
      <w:start w:val="1"/>
      <w:numFmt w:val="bullet"/>
      <w:lvlText w:val="•"/>
      <w:lvlJc w:val="left"/>
      <w:pPr>
        <w:ind w:left="6231" w:hanging="360"/>
      </w:pPr>
      <w:rPr>
        <w:rFonts w:hint="default"/>
      </w:rPr>
    </w:lvl>
    <w:lvl w:ilvl="7" w:tplc="07D6FA5E">
      <w:start w:val="1"/>
      <w:numFmt w:val="bullet"/>
      <w:lvlText w:val="•"/>
      <w:lvlJc w:val="left"/>
      <w:pPr>
        <w:ind w:left="7188" w:hanging="360"/>
      </w:pPr>
      <w:rPr>
        <w:rFonts w:hint="default"/>
      </w:rPr>
    </w:lvl>
    <w:lvl w:ilvl="8" w:tplc="7820F262">
      <w:start w:val="1"/>
      <w:numFmt w:val="bullet"/>
      <w:lvlText w:val="•"/>
      <w:lvlJc w:val="left"/>
      <w:pPr>
        <w:ind w:left="8145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46D"/>
    <w:rsid w:val="00022F59"/>
    <w:rsid w:val="000D0179"/>
    <w:rsid w:val="000F6A23"/>
    <w:rsid w:val="001800D4"/>
    <w:rsid w:val="00350DFC"/>
    <w:rsid w:val="00420CD1"/>
    <w:rsid w:val="005070F4"/>
    <w:rsid w:val="005C0383"/>
    <w:rsid w:val="006520C9"/>
    <w:rsid w:val="007E3116"/>
    <w:rsid w:val="0083146D"/>
    <w:rsid w:val="00C86497"/>
    <w:rsid w:val="00CE3413"/>
    <w:rsid w:val="00D668CF"/>
    <w:rsid w:val="00E33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3817E28-0146-48D3-AFC2-1946B6504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78"/>
      <w:ind w:left="110"/>
      <w:outlineLvl w:val="0"/>
    </w:pPr>
    <w:rPr>
      <w:rFonts w:ascii="Arial" w:eastAsia="Arial" w:hAnsi="Arial"/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487" w:hanging="360"/>
    </w:pPr>
    <w:rPr>
      <w:rFonts w:ascii="Arial" w:eastAsia="Arial" w:hAnsi="Arial"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BIOL537_Primary papers_KEY_Melhop</vt:lpstr>
    </vt:vector>
  </TitlesOfParts>
  <Company>Purdue University</Company>
  <LinksUpToDate>false</LinksUpToDate>
  <CharactersWithSpaces>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BIOL537_Primary papers_KEY_Melhop</dc:title>
  <dc:creator>Kirshner, Julia</dc:creator>
  <cp:lastModifiedBy>Deng, Qing</cp:lastModifiedBy>
  <cp:revision>2</cp:revision>
  <dcterms:created xsi:type="dcterms:W3CDTF">2016-12-30T16:44:00Z</dcterms:created>
  <dcterms:modified xsi:type="dcterms:W3CDTF">2016-12-30T16:44:00Z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2013-03-18T00:00:00Z</vt:filetime>
  </property>
  <property fmtid="{D5CDD505-2E9C-101B-9397-08002B2CF9AE}" pid="3" name="LastSaved">
    <vt:filetime>2014-12-03T00:00:00Z</vt:filetime>
  </property>
</Properties>
</file>